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59"/>
        <w:gridCol w:w="4212"/>
      </w:tblGrid>
      <w:tr w:rsidR="006C5B5F" w:rsidRPr="004547E0" w14:paraId="777F23BF" w14:textId="77777777" w:rsidTr="00D74F94">
        <w:trPr>
          <w:trHeight w:val="1693"/>
        </w:trPr>
        <w:tc>
          <w:tcPr>
            <w:tcW w:w="4859" w:type="dxa"/>
          </w:tcPr>
          <w:p w14:paraId="22042409" w14:textId="77777777" w:rsidR="006C5B5F" w:rsidRPr="004547E0" w:rsidRDefault="007678FA" w:rsidP="00D74F94">
            <w:pPr>
              <w:ind w:left="0"/>
              <w:rPr>
                <w:rFonts w:ascii="Times New Roman" w:hAnsi="Times New Roman" w:cs="Times New Roman"/>
              </w:rPr>
            </w:pPr>
            <w:r>
              <w:rPr>
                <w:noProof/>
                <w:lang w:eastAsia="et-EE"/>
              </w:rPr>
              <w:drawing>
                <wp:anchor distT="0" distB="0" distL="114300" distR="114300" simplePos="0" relativeHeight="251658240" behindDoc="0" locked="0" layoutInCell="1" allowOverlap="1" wp14:anchorId="66967D99" wp14:editId="365D5164">
                  <wp:simplePos x="0" y="0"/>
                  <wp:positionH relativeFrom="page">
                    <wp:posOffset>-864235</wp:posOffset>
                  </wp:positionH>
                  <wp:positionV relativeFrom="page">
                    <wp:posOffset>-144145</wp:posOffset>
                  </wp:positionV>
                  <wp:extent cx="2944800" cy="957600"/>
                  <wp:effectExtent l="0" t="0" r="8255" b="0"/>
                  <wp:wrapNone/>
                  <wp:docPr id="1" name="Pilt 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4212" w:type="dxa"/>
          </w:tcPr>
          <w:p w14:paraId="7B1BE077" w14:textId="77777777" w:rsidR="006C5B5F" w:rsidRPr="004547E0" w:rsidRDefault="006C5B5F" w:rsidP="001D4ED5">
            <w:pPr>
              <w:ind w:left="0"/>
              <w:jc w:val="right"/>
              <w:rPr>
                <w:rFonts w:ascii="Times New Roman" w:hAnsi="Times New Roman" w:cs="Times New Roman"/>
              </w:rPr>
            </w:pPr>
          </w:p>
        </w:tc>
      </w:tr>
      <w:tr w:rsidR="006C5B5F" w:rsidRPr="004547E0" w14:paraId="1DC739B2" w14:textId="77777777" w:rsidTr="00D74F94">
        <w:trPr>
          <w:trHeight w:val="1848"/>
        </w:trPr>
        <w:tc>
          <w:tcPr>
            <w:tcW w:w="4859" w:type="dxa"/>
          </w:tcPr>
          <w:p w14:paraId="638B5397" w14:textId="6347480F" w:rsidR="006C5B5F" w:rsidRPr="004547E0" w:rsidRDefault="006C5B5F" w:rsidP="00D74F94">
            <w:pPr>
              <w:ind w:left="0"/>
              <w:rPr>
                <w:rFonts w:ascii="Times New Roman" w:hAnsi="Times New Roman" w:cs="Times New Roman"/>
                <w:sz w:val="24"/>
                <w:szCs w:val="24"/>
              </w:rPr>
            </w:pPr>
          </w:p>
          <w:p w14:paraId="7312B5C6" w14:textId="08E9FE1F" w:rsidR="002B6007" w:rsidRPr="004547E0" w:rsidRDefault="002B6007" w:rsidP="00D74F94">
            <w:pPr>
              <w:ind w:left="0"/>
              <w:rPr>
                <w:rFonts w:ascii="Times New Roman" w:hAnsi="Times New Roman" w:cs="Times New Roman"/>
                <w:sz w:val="24"/>
                <w:szCs w:val="24"/>
              </w:rPr>
            </w:pPr>
            <w:r w:rsidRPr="004547E0">
              <w:rPr>
                <w:rFonts w:ascii="Times New Roman" w:hAnsi="Times New Roman" w:cs="Times New Roman"/>
                <w:sz w:val="24"/>
                <w:szCs w:val="24"/>
              </w:rPr>
              <w:fldChar w:fldCharType="begin"/>
            </w:r>
            <w:r w:rsidR="004C1FE1">
              <w:rPr>
                <w:rFonts w:ascii="Times New Roman" w:hAnsi="Times New Roman" w:cs="Times New Roman"/>
                <w:sz w:val="24"/>
                <w:szCs w:val="24"/>
              </w:rPr>
              <w:instrText xml:space="preserve"> delta_recipientName_1  \* MERGEFORMAT</w:instrText>
            </w:r>
            <w:r w:rsidRPr="004547E0">
              <w:rPr>
                <w:rFonts w:ascii="Times New Roman" w:hAnsi="Times New Roman" w:cs="Times New Roman"/>
                <w:sz w:val="24"/>
                <w:szCs w:val="24"/>
              </w:rPr>
              <w:fldChar w:fldCharType="separate"/>
            </w:r>
            <w:r w:rsidR="004C1FE1">
              <w:rPr>
                <w:rFonts w:ascii="Times New Roman" w:hAnsi="Times New Roman" w:cs="Times New Roman"/>
                <w:sz w:val="24"/>
                <w:szCs w:val="24"/>
              </w:rPr>
              <w:t>Rahandusministeerium</w:t>
            </w:r>
            <w:r w:rsidRPr="004547E0">
              <w:rPr>
                <w:rFonts w:ascii="Times New Roman" w:hAnsi="Times New Roman" w:cs="Times New Roman"/>
                <w:sz w:val="24"/>
                <w:szCs w:val="24"/>
              </w:rPr>
              <w:fldChar w:fldCharType="end"/>
            </w:r>
          </w:p>
        </w:tc>
        <w:tc>
          <w:tcPr>
            <w:tcW w:w="4212" w:type="dxa"/>
          </w:tcPr>
          <w:p w14:paraId="2FD458AE" w14:textId="77BE82FC" w:rsidR="0007163D" w:rsidRPr="00436E9F" w:rsidRDefault="0007163D" w:rsidP="00D74F94">
            <w:pPr>
              <w:ind w:left="0"/>
              <w:rPr>
                <w:rFonts w:ascii="Times New Roman" w:hAnsi="Times New Roman" w:cs="Times New Roman"/>
                <w:sz w:val="24"/>
                <w:szCs w:val="24"/>
              </w:rPr>
            </w:pPr>
            <w:r w:rsidRPr="00436E9F">
              <w:rPr>
                <w:rFonts w:ascii="Times New Roman" w:hAnsi="Times New Roman" w:cs="Times New Roman"/>
                <w:sz w:val="24"/>
                <w:szCs w:val="24"/>
              </w:rPr>
              <w:t xml:space="preserve">Teie: </w:t>
            </w:r>
            <w:r w:rsidRPr="00436E9F">
              <w:rPr>
                <w:rFonts w:ascii="Times New Roman" w:hAnsi="Times New Roman" w:cs="Times New Roman"/>
                <w:sz w:val="24"/>
                <w:szCs w:val="24"/>
              </w:rPr>
              <w:fldChar w:fldCharType="begin"/>
            </w:r>
            <w:r w:rsidR="004C1FE1">
              <w:rPr>
                <w:rFonts w:ascii="Times New Roman" w:hAnsi="Times New Roman" w:cs="Times New Roman"/>
                <w:sz w:val="24"/>
                <w:szCs w:val="24"/>
              </w:rPr>
              <w:instrText xml:space="preserve"> delta_senderRegDate  \* MERGEFORMAT</w:instrText>
            </w:r>
            <w:r w:rsidRPr="00436E9F">
              <w:rPr>
                <w:rFonts w:ascii="Times New Roman" w:hAnsi="Times New Roman" w:cs="Times New Roman"/>
                <w:sz w:val="24"/>
                <w:szCs w:val="24"/>
              </w:rPr>
              <w:fldChar w:fldCharType="separate"/>
            </w:r>
            <w:r w:rsidR="004C1FE1">
              <w:rPr>
                <w:rFonts w:ascii="Times New Roman" w:hAnsi="Times New Roman" w:cs="Times New Roman"/>
                <w:sz w:val="24"/>
                <w:szCs w:val="24"/>
              </w:rPr>
              <w:t>27.01.2025</w:t>
            </w:r>
            <w:r w:rsidRPr="00436E9F">
              <w:rPr>
                <w:rFonts w:ascii="Times New Roman" w:hAnsi="Times New Roman" w:cs="Times New Roman"/>
                <w:sz w:val="24"/>
                <w:szCs w:val="24"/>
              </w:rPr>
              <w:fldChar w:fldCharType="end"/>
            </w:r>
            <w:r w:rsidRPr="00436E9F">
              <w:rPr>
                <w:rFonts w:ascii="Times New Roman" w:hAnsi="Times New Roman" w:cs="Times New Roman"/>
                <w:sz w:val="24"/>
                <w:szCs w:val="24"/>
              </w:rPr>
              <w:t xml:space="preserve"> nr </w:t>
            </w:r>
            <w:r w:rsidRPr="00436E9F">
              <w:rPr>
                <w:rFonts w:ascii="Times New Roman" w:hAnsi="Times New Roman" w:cs="Times New Roman"/>
                <w:sz w:val="24"/>
                <w:szCs w:val="24"/>
              </w:rPr>
              <w:fldChar w:fldCharType="begin"/>
            </w:r>
            <w:r w:rsidR="004C1FE1">
              <w:rPr>
                <w:rFonts w:ascii="Times New Roman" w:hAnsi="Times New Roman" w:cs="Times New Roman"/>
                <w:sz w:val="24"/>
                <w:szCs w:val="24"/>
              </w:rPr>
              <w:instrText xml:space="preserve"> delta_senderRegNumber  \* MERGEFORMAT</w:instrText>
            </w:r>
            <w:r w:rsidRPr="00436E9F">
              <w:rPr>
                <w:rFonts w:ascii="Times New Roman" w:hAnsi="Times New Roman" w:cs="Times New Roman"/>
                <w:sz w:val="24"/>
                <w:szCs w:val="24"/>
              </w:rPr>
              <w:fldChar w:fldCharType="separate"/>
            </w:r>
            <w:r w:rsidR="004C1FE1">
              <w:rPr>
                <w:rFonts w:ascii="Times New Roman" w:hAnsi="Times New Roman" w:cs="Times New Roman"/>
                <w:sz w:val="24"/>
                <w:szCs w:val="24"/>
              </w:rPr>
              <w:t>1.1-26/453-1</w:t>
            </w:r>
            <w:r w:rsidRPr="00436E9F">
              <w:rPr>
                <w:rFonts w:ascii="Times New Roman" w:hAnsi="Times New Roman" w:cs="Times New Roman"/>
                <w:sz w:val="24"/>
                <w:szCs w:val="24"/>
              </w:rPr>
              <w:fldChar w:fldCharType="end"/>
            </w:r>
          </w:p>
          <w:p w14:paraId="005AC67C" w14:textId="77777777" w:rsidR="006C5B5F" w:rsidRPr="004547E0" w:rsidRDefault="006C5B5F" w:rsidP="00D74F94">
            <w:pPr>
              <w:ind w:left="0"/>
              <w:rPr>
                <w:rFonts w:ascii="Times New Roman" w:hAnsi="Times New Roman" w:cs="Times New Roman"/>
                <w:sz w:val="24"/>
                <w:szCs w:val="24"/>
              </w:rPr>
            </w:pPr>
          </w:p>
          <w:p w14:paraId="357D2A29" w14:textId="6F80761B" w:rsidR="006C5B5F" w:rsidRPr="004547E0" w:rsidRDefault="0007163D" w:rsidP="00D74F94">
            <w:pPr>
              <w:ind w:left="0"/>
              <w:rPr>
                <w:rFonts w:ascii="Times New Roman" w:hAnsi="Times New Roman" w:cs="Times New Roman"/>
                <w:sz w:val="24"/>
                <w:szCs w:val="24"/>
              </w:rPr>
            </w:pPr>
            <w:r w:rsidRPr="00436E9F">
              <w:rPr>
                <w:rFonts w:ascii="Times New Roman" w:hAnsi="Times New Roman" w:cs="Times New Roman"/>
                <w:sz w:val="24"/>
                <w:szCs w:val="24"/>
              </w:rPr>
              <w:t>Meie:</w:t>
            </w:r>
            <w:r>
              <w:rPr>
                <w:rFonts w:ascii="Times New Roman" w:hAnsi="Times New Roman" w:cs="Times New Roman"/>
                <w:sz w:val="24"/>
                <w:szCs w:val="24"/>
              </w:rPr>
              <w:t xml:space="preserve"> </w:t>
            </w:r>
            <w:r w:rsidR="0023764E">
              <w:rPr>
                <w:rFonts w:ascii="Times New Roman" w:hAnsi="Times New Roman" w:cs="Times New Roman"/>
                <w:sz w:val="24"/>
                <w:szCs w:val="24"/>
              </w:rPr>
              <w:t>kuupäev digiallkirjas</w:t>
            </w:r>
            <w:r>
              <w:rPr>
                <w:rFonts w:ascii="Times New Roman" w:hAnsi="Times New Roman" w:cs="Times New Roman"/>
                <w:sz w:val="24"/>
                <w:szCs w:val="24"/>
              </w:rPr>
              <w:t xml:space="preserve"> nr </w:t>
            </w:r>
            <w:r w:rsidR="0023764E" w:rsidRPr="0023764E">
              <w:rPr>
                <w:rFonts w:ascii="Times New Roman" w:hAnsi="Times New Roman" w:cs="Times New Roman"/>
                <w:sz w:val="24"/>
                <w:szCs w:val="24"/>
              </w:rPr>
              <w:t>1-7/15-</w:t>
            </w:r>
            <w:r w:rsidR="0023764E">
              <w:rPr>
                <w:rFonts w:ascii="Times New Roman" w:hAnsi="Times New Roman" w:cs="Times New Roman"/>
                <w:sz w:val="24"/>
                <w:szCs w:val="24"/>
              </w:rPr>
              <w:t>3</w:t>
            </w:r>
          </w:p>
        </w:tc>
      </w:tr>
      <w:tr w:rsidR="001A4AAD" w:rsidRPr="004547E0" w14:paraId="3F62574B" w14:textId="77777777" w:rsidTr="00D74F94">
        <w:trPr>
          <w:trHeight w:val="379"/>
        </w:trPr>
        <w:tc>
          <w:tcPr>
            <w:tcW w:w="4859" w:type="dxa"/>
          </w:tcPr>
          <w:p w14:paraId="7EFD1882" w14:textId="43594012" w:rsidR="001A4AAD" w:rsidRPr="006A256E" w:rsidRDefault="00AF5F00" w:rsidP="00D74F94">
            <w:pPr>
              <w:tabs>
                <w:tab w:val="left" w:pos="171"/>
              </w:tabs>
              <w:ind w:left="0"/>
              <w:rPr>
                <w:rFonts w:ascii="Times New Roman" w:hAnsi="Times New Roman" w:cs="Times New Roman"/>
                <w:b/>
                <w:sz w:val="24"/>
                <w:szCs w:val="24"/>
              </w:rPr>
            </w:pPr>
            <w:r w:rsidRPr="006A256E">
              <w:rPr>
                <w:rFonts w:ascii="Times New Roman" w:hAnsi="Times New Roman" w:cs="Times New Roman"/>
                <w:b/>
                <w:sz w:val="24"/>
                <w:szCs w:val="24"/>
              </w:rPr>
              <w:fldChar w:fldCharType="begin"/>
            </w:r>
            <w:r w:rsidR="004C1FE1">
              <w:rPr>
                <w:rFonts w:ascii="Times New Roman" w:hAnsi="Times New Roman" w:cs="Times New Roman"/>
                <w:b/>
                <w:sz w:val="24"/>
                <w:szCs w:val="24"/>
              </w:rPr>
              <w:instrText xml:space="preserve"> delta_docName  \* MERGEFORMAT</w:instrText>
            </w:r>
            <w:r w:rsidRPr="006A256E">
              <w:rPr>
                <w:rFonts w:ascii="Times New Roman" w:hAnsi="Times New Roman" w:cs="Times New Roman"/>
                <w:b/>
                <w:sz w:val="24"/>
                <w:szCs w:val="24"/>
              </w:rPr>
              <w:fldChar w:fldCharType="separate"/>
            </w:r>
            <w:r w:rsidR="004C1FE1">
              <w:rPr>
                <w:rFonts w:ascii="Times New Roman" w:hAnsi="Times New Roman" w:cs="Times New Roman"/>
                <w:b/>
                <w:sz w:val="24"/>
                <w:szCs w:val="24"/>
              </w:rPr>
              <w:t>Hasartmänguseaduse muutmise seaduse eelnõu väljatöötamiskavatsuse kooskõlastamine</w:t>
            </w:r>
            <w:r w:rsidRPr="006A256E">
              <w:rPr>
                <w:rFonts w:ascii="Times New Roman" w:hAnsi="Times New Roman" w:cs="Times New Roman"/>
                <w:b/>
                <w:sz w:val="24"/>
                <w:szCs w:val="24"/>
              </w:rPr>
              <w:fldChar w:fldCharType="end"/>
            </w:r>
          </w:p>
        </w:tc>
        <w:tc>
          <w:tcPr>
            <w:tcW w:w="4212" w:type="dxa"/>
          </w:tcPr>
          <w:p w14:paraId="4EA231EE" w14:textId="77777777" w:rsidR="001A4AAD" w:rsidRPr="004547E0" w:rsidRDefault="001A4AAD" w:rsidP="00D74F94">
            <w:pPr>
              <w:ind w:left="0"/>
              <w:rPr>
                <w:rFonts w:ascii="Times New Roman" w:hAnsi="Times New Roman" w:cs="Times New Roman"/>
                <w:sz w:val="24"/>
                <w:szCs w:val="24"/>
              </w:rPr>
            </w:pPr>
          </w:p>
        </w:tc>
      </w:tr>
    </w:tbl>
    <w:p w14:paraId="3ABBBE4D" w14:textId="77777777" w:rsidR="005442C4" w:rsidRPr="004547E0" w:rsidRDefault="005442C4" w:rsidP="00D74F94">
      <w:pPr>
        <w:spacing w:after="0" w:line="240" w:lineRule="auto"/>
        <w:ind w:left="0"/>
        <w:jc w:val="both"/>
        <w:rPr>
          <w:rFonts w:ascii="Times New Roman" w:hAnsi="Times New Roman" w:cs="Times New Roman"/>
          <w:sz w:val="24"/>
          <w:szCs w:val="24"/>
        </w:rPr>
      </w:pPr>
    </w:p>
    <w:p w14:paraId="4F805295" w14:textId="77777777" w:rsidR="00AF5F00" w:rsidRPr="004547E0" w:rsidRDefault="00AF5F00" w:rsidP="00D74F94">
      <w:pPr>
        <w:spacing w:after="0" w:line="240" w:lineRule="auto"/>
        <w:ind w:left="0"/>
        <w:jc w:val="both"/>
        <w:rPr>
          <w:rFonts w:ascii="Times New Roman" w:hAnsi="Times New Roman" w:cs="Times New Roman"/>
          <w:sz w:val="24"/>
          <w:szCs w:val="24"/>
        </w:rPr>
      </w:pPr>
    </w:p>
    <w:p w14:paraId="40E047FC" w14:textId="57356C13" w:rsidR="001D4ED5" w:rsidRPr="001D4ED5" w:rsidRDefault="001D4ED5" w:rsidP="001D4ED5">
      <w:pPr>
        <w:spacing w:after="0" w:line="240" w:lineRule="auto"/>
        <w:ind w:left="0"/>
        <w:jc w:val="both"/>
        <w:rPr>
          <w:rFonts w:ascii="Times New Roman" w:hAnsi="Times New Roman" w:cs="Times New Roman"/>
          <w:sz w:val="24"/>
          <w:szCs w:val="24"/>
        </w:rPr>
      </w:pPr>
      <w:r w:rsidRPr="001D4ED5">
        <w:rPr>
          <w:rFonts w:ascii="Times New Roman" w:hAnsi="Times New Roman" w:cs="Times New Roman"/>
          <w:sz w:val="24"/>
          <w:szCs w:val="24"/>
        </w:rPr>
        <w:t>Esita</w:t>
      </w:r>
      <w:r w:rsidR="00DD68BA">
        <w:rPr>
          <w:rFonts w:ascii="Times New Roman" w:hAnsi="Times New Roman" w:cs="Times New Roman"/>
          <w:sz w:val="24"/>
          <w:szCs w:val="24"/>
        </w:rPr>
        <w:t>site</w:t>
      </w:r>
      <w:r w:rsidRPr="001D4ED5">
        <w:rPr>
          <w:rFonts w:ascii="Times New Roman" w:hAnsi="Times New Roman" w:cs="Times New Roman"/>
          <w:sz w:val="24"/>
          <w:szCs w:val="24"/>
        </w:rPr>
        <w:t xml:space="preserve"> kooskõlastamiseks ja arvamuse avaldamiseks </w:t>
      </w:r>
      <w:r>
        <w:rPr>
          <w:rFonts w:ascii="Times New Roman" w:hAnsi="Times New Roman" w:cs="Times New Roman"/>
          <w:sz w:val="24"/>
          <w:szCs w:val="24"/>
        </w:rPr>
        <w:t>h</w:t>
      </w:r>
      <w:r w:rsidRPr="001D4ED5">
        <w:rPr>
          <w:rFonts w:ascii="Times New Roman" w:hAnsi="Times New Roman" w:cs="Times New Roman"/>
          <w:sz w:val="24"/>
          <w:szCs w:val="24"/>
        </w:rPr>
        <w:t xml:space="preserve">asartmänguseaduse muutmise seaduse eelnõu väljatöötamiskavatsuse (edaspidi </w:t>
      </w:r>
      <w:r w:rsidRPr="001D4ED5">
        <w:rPr>
          <w:rFonts w:ascii="Times New Roman" w:hAnsi="Times New Roman" w:cs="Times New Roman"/>
          <w:i/>
          <w:iCs/>
          <w:sz w:val="24"/>
          <w:szCs w:val="24"/>
        </w:rPr>
        <w:t>VTK</w:t>
      </w:r>
      <w:r w:rsidRPr="001D4ED5">
        <w:rPr>
          <w:rFonts w:ascii="Times New Roman" w:hAnsi="Times New Roman" w:cs="Times New Roman"/>
          <w:sz w:val="24"/>
          <w:szCs w:val="24"/>
        </w:rPr>
        <w:t>).</w:t>
      </w:r>
    </w:p>
    <w:p w14:paraId="7C94980A" w14:textId="77777777" w:rsidR="001D4ED5" w:rsidRPr="001D4ED5" w:rsidRDefault="001D4ED5" w:rsidP="001D4ED5">
      <w:pPr>
        <w:spacing w:before="160" w:after="0" w:line="240" w:lineRule="auto"/>
        <w:ind w:left="0"/>
        <w:jc w:val="both"/>
        <w:rPr>
          <w:rFonts w:ascii="Times New Roman" w:hAnsi="Times New Roman" w:cs="Times New Roman"/>
          <w:sz w:val="24"/>
          <w:szCs w:val="24"/>
        </w:rPr>
      </w:pPr>
      <w:r w:rsidRPr="001D4ED5">
        <w:rPr>
          <w:rFonts w:ascii="Times New Roman" w:hAnsi="Times New Roman" w:cs="Times New Roman"/>
          <w:sz w:val="24"/>
          <w:szCs w:val="24"/>
        </w:rPr>
        <w:t xml:space="preserve">Siseministeerium teeb, tuginedes Politsei- ja Piirivalveameti (edaspidi </w:t>
      </w:r>
      <w:r w:rsidRPr="001D4ED5">
        <w:rPr>
          <w:rFonts w:ascii="Times New Roman" w:hAnsi="Times New Roman" w:cs="Times New Roman"/>
          <w:i/>
          <w:iCs/>
          <w:sz w:val="24"/>
          <w:szCs w:val="24"/>
        </w:rPr>
        <w:t>PPA</w:t>
      </w:r>
      <w:r w:rsidRPr="001D4ED5">
        <w:rPr>
          <w:rFonts w:ascii="Times New Roman" w:hAnsi="Times New Roman" w:cs="Times New Roman"/>
          <w:sz w:val="24"/>
          <w:szCs w:val="24"/>
        </w:rPr>
        <w:t>) arvamusele, järgnevad ettepanekud.</w:t>
      </w:r>
    </w:p>
    <w:p w14:paraId="0306204E" w14:textId="77777777" w:rsidR="001D4ED5" w:rsidRPr="001D4ED5" w:rsidRDefault="001D4ED5" w:rsidP="001D4ED5">
      <w:pPr>
        <w:spacing w:before="160" w:after="0" w:line="240" w:lineRule="auto"/>
        <w:ind w:left="0"/>
        <w:jc w:val="both"/>
        <w:rPr>
          <w:rFonts w:ascii="Times New Roman" w:hAnsi="Times New Roman" w:cs="Times New Roman"/>
          <w:sz w:val="24"/>
          <w:szCs w:val="24"/>
        </w:rPr>
      </w:pPr>
      <w:r w:rsidRPr="001D4ED5">
        <w:rPr>
          <w:rFonts w:ascii="Times New Roman" w:hAnsi="Times New Roman" w:cs="Times New Roman"/>
          <w:b/>
          <w:bCs/>
          <w:sz w:val="24"/>
          <w:szCs w:val="24"/>
        </w:rPr>
        <w:t xml:space="preserve">1. Kaaluda seadusemuudatuse väljatöötamisel, kas PPA menetluspädevus hasartmänguseaduse (edaspidi </w:t>
      </w:r>
      <w:r w:rsidRPr="001D4ED5">
        <w:rPr>
          <w:rFonts w:ascii="Times New Roman" w:hAnsi="Times New Roman" w:cs="Times New Roman"/>
          <w:b/>
          <w:bCs/>
          <w:i/>
          <w:iCs/>
          <w:sz w:val="24"/>
          <w:szCs w:val="24"/>
        </w:rPr>
        <w:t>HasMS</w:t>
      </w:r>
      <w:r w:rsidRPr="001D4ED5">
        <w:rPr>
          <w:rFonts w:ascii="Times New Roman" w:hAnsi="Times New Roman" w:cs="Times New Roman"/>
          <w:b/>
          <w:bCs/>
          <w:sz w:val="24"/>
          <w:szCs w:val="24"/>
        </w:rPr>
        <w:t>) rikkumiste osas on jätkuvalt vajalik.</w:t>
      </w:r>
      <w:r w:rsidRPr="001D4ED5">
        <w:rPr>
          <w:rFonts w:ascii="Times New Roman" w:hAnsi="Times New Roman" w:cs="Times New Roman"/>
          <w:sz w:val="24"/>
          <w:szCs w:val="24"/>
        </w:rPr>
        <w:t xml:space="preserve"> PPA-l kõnealuse seaduse alusel riikliku järelevalve pädevus puudub ning väärtegude menetlemine nende poolt on ebatõenäoline. PPA andmetel ei ole nad alates 2020. aastast menetlenud HasMS-i alusel ühtegi väärtegu.</w:t>
      </w:r>
    </w:p>
    <w:p w14:paraId="554BE9B4" w14:textId="77777777" w:rsidR="001D4ED5" w:rsidRPr="001D4ED5" w:rsidRDefault="001D4ED5" w:rsidP="001D4ED5">
      <w:pPr>
        <w:spacing w:before="160" w:after="0" w:line="240" w:lineRule="auto"/>
        <w:ind w:left="0"/>
        <w:jc w:val="both"/>
        <w:rPr>
          <w:rFonts w:ascii="Times New Roman" w:hAnsi="Times New Roman" w:cs="Times New Roman"/>
          <w:i/>
          <w:iCs/>
          <w:sz w:val="24"/>
          <w:szCs w:val="24"/>
        </w:rPr>
      </w:pPr>
      <w:r w:rsidRPr="001D4ED5">
        <w:rPr>
          <w:rFonts w:ascii="Times New Roman" w:hAnsi="Times New Roman" w:cs="Times New Roman"/>
          <w:b/>
          <w:bCs/>
          <w:sz w:val="24"/>
          <w:szCs w:val="24"/>
        </w:rPr>
        <w:t>2. Siseministeerium ei toeta osavusmängu vanusepiiri alandamist.</w:t>
      </w:r>
      <w:r w:rsidRPr="001D4ED5">
        <w:rPr>
          <w:rFonts w:ascii="Times New Roman" w:hAnsi="Times New Roman" w:cs="Times New Roman"/>
          <w:sz w:val="24"/>
          <w:szCs w:val="24"/>
        </w:rPr>
        <w:t xml:space="preserve"> VTK leheküljel 4 on märgitud, et: „</w:t>
      </w:r>
      <w:r w:rsidRPr="001D4ED5">
        <w:rPr>
          <w:rFonts w:ascii="Times New Roman" w:hAnsi="Times New Roman" w:cs="Times New Roman"/>
          <w:i/>
          <w:iCs/>
          <w:sz w:val="24"/>
          <w:szCs w:val="24"/>
        </w:rPr>
        <w:t>Maksu- ja Tolliameti (edaspidi MTA) hinnangul on kaughasartmänguna korraldatava osavusmängu vanusepiir kehtestatud liiga kõrgena, arvestades madalat võidusummat, vanuspiiri puudumist maismaa osavusmängudes ja ka asjaolu et loteriis osalemise vanusepiir on 16 ja totos osalemise vanusepiir on 18</w:t>
      </w:r>
      <w:r w:rsidRPr="001D4ED5">
        <w:rPr>
          <w:rFonts w:ascii="Times New Roman" w:hAnsi="Times New Roman" w:cs="Times New Roman"/>
          <w:sz w:val="24"/>
          <w:szCs w:val="24"/>
        </w:rPr>
        <w:t>.“. Samuti: „</w:t>
      </w:r>
      <w:r w:rsidRPr="001D4ED5">
        <w:rPr>
          <w:rFonts w:ascii="Times New Roman" w:hAnsi="Times New Roman" w:cs="Times New Roman"/>
          <w:i/>
          <w:iCs/>
          <w:sz w:val="24"/>
          <w:szCs w:val="24"/>
        </w:rPr>
        <w:t>Hasartmängude mängijate vanusepiiri kehtestamisel on senini lähtutud erinevate mängude hasartsusest, võimalikust kahjust mängijate majanduslikule olukorrale ning eesmärkidest kaitsta alaealisi, propageerida vastutustundlikku hasartmängimist ja hasartmängunõudluse rahuldamist, kasutades pehmemaid hasartmänge. Hasartmängu mängija vanusepiiri ei ole üle 5 kümne aasta üle vaadatud, mistõttu on vajadus ka need nimetatud asjaolusid arvestades üle vaadata ja ajakohastada.“.</w:t>
      </w:r>
    </w:p>
    <w:p w14:paraId="3EE8454D" w14:textId="77777777" w:rsidR="001D4ED5" w:rsidRPr="001D4ED5" w:rsidRDefault="001D4ED5" w:rsidP="001D4ED5">
      <w:pPr>
        <w:spacing w:before="160" w:after="0" w:line="240" w:lineRule="auto"/>
        <w:ind w:left="0"/>
        <w:jc w:val="both"/>
        <w:rPr>
          <w:rFonts w:ascii="Times New Roman" w:hAnsi="Times New Roman" w:cs="Times New Roman"/>
          <w:sz w:val="24"/>
          <w:szCs w:val="24"/>
        </w:rPr>
      </w:pPr>
      <w:r w:rsidRPr="001D4ED5">
        <w:rPr>
          <w:rFonts w:ascii="Times New Roman" w:hAnsi="Times New Roman" w:cs="Times New Roman"/>
          <w:sz w:val="24"/>
          <w:szCs w:val="24"/>
        </w:rPr>
        <w:t>Siseministeerium ei toeta vanusepiiri alandamist, sest igasugune hasartmäng tekitab sõltuvust. Kaughasartmängud on ohtlikumad, sest selleks ei pea kodust lahkuma ning sõltlasi on raskem tuvastada. VTK 5. punktis viidatud uuringus kohaselt on kõige suuremasse sõltuvuse riskirühma kuuluvad inimesed 15-20-aastased. Seega tuleb lisaks alaealistele kaitsta ka noori täiskasvanuid, ennetamaks nende probleemidesse (võlakoormasse) sattumist. Juba 1990-ndatel, kui tulid esimesed mänguautomaadid, kasvas alaealiste ja noorte poolt toimepandud õigusrikkumiste arv märgatavalt, sest sooviti mängida, kuid selleks oli vaja raha. Raha saamiseks sooritati vargusi, sh ka endi kodudest,  vanematelt ja vanavanematelt. Arvestades tänaseid arenguid ja kuritegevuse suundumusi, kasvaks nüüd kindlasti internetis toimepandud varguste ja väljapressimiste arv.</w:t>
      </w:r>
    </w:p>
    <w:p w14:paraId="6B6B0858" w14:textId="77777777" w:rsidR="001D4ED5" w:rsidRPr="001D4ED5" w:rsidRDefault="001D4ED5" w:rsidP="001D4ED5">
      <w:pPr>
        <w:spacing w:before="160" w:after="0" w:line="240" w:lineRule="auto"/>
        <w:ind w:left="0"/>
        <w:jc w:val="both"/>
        <w:rPr>
          <w:rFonts w:ascii="Times New Roman" w:hAnsi="Times New Roman" w:cs="Times New Roman"/>
          <w:sz w:val="24"/>
          <w:szCs w:val="24"/>
        </w:rPr>
      </w:pPr>
      <w:r w:rsidRPr="001D4ED5">
        <w:rPr>
          <w:rFonts w:ascii="Times New Roman" w:hAnsi="Times New Roman" w:cs="Times New Roman"/>
          <w:b/>
          <w:bCs/>
          <w:sz w:val="24"/>
          <w:szCs w:val="24"/>
        </w:rPr>
        <w:t>3. Siseministeerium ei toeta alla 18-aastaste toto mängukohas viibimise lubamist.</w:t>
      </w:r>
      <w:r w:rsidRPr="001D4ED5">
        <w:rPr>
          <w:rFonts w:ascii="Times New Roman" w:hAnsi="Times New Roman" w:cs="Times New Roman"/>
          <w:sz w:val="24"/>
          <w:szCs w:val="24"/>
        </w:rPr>
        <w:t xml:space="preserve"> VTK leheküljel 6 on toodud välja, et: „</w:t>
      </w:r>
      <w:r w:rsidRPr="001D4ED5">
        <w:rPr>
          <w:rFonts w:ascii="Times New Roman" w:hAnsi="Times New Roman" w:cs="Times New Roman"/>
          <w:i/>
          <w:iCs/>
          <w:sz w:val="24"/>
          <w:szCs w:val="24"/>
        </w:rPr>
        <w:t xml:space="preserve">Näiteks ei ole alla 18-aastasel isikul lubatud mängida totot. </w:t>
      </w:r>
      <w:r w:rsidRPr="001D4ED5">
        <w:rPr>
          <w:rFonts w:ascii="Times New Roman" w:hAnsi="Times New Roman" w:cs="Times New Roman"/>
          <w:i/>
          <w:iCs/>
          <w:sz w:val="24"/>
          <w:szCs w:val="24"/>
        </w:rPr>
        <w:lastRenderedPageBreak/>
        <w:t>Samas ei ole HasMS-is expressis verbis piirangut alla 18-aastasele isikule toto mängukohtades viibimise osas. Küll aga on alaealisel toto mängukohas viibimise keeld tuletatav HasMS § 83 lõikest 1, mille kohaselt on hasartmängukorraldajat võimalik karistada alla 18-aastase isiku toto mängukohas viibimise eest. Selline piirang tuleks sätestada kas HasMS-i materiaalosas või alternatiivina tuleks üle vaadata alla 18-aastase isiku toto mängukohas viibimise sanktsioneerimise vajadus.“</w:t>
      </w:r>
      <w:r w:rsidRPr="001D4ED5">
        <w:rPr>
          <w:rFonts w:ascii="Times New Roman" w:hAnsi="Times New Roman" w:cs="Times New Roman"/>
          <w:sz w:val="24"/>
          <w:szCs w:val="24"/>
        </w:rPr>
        <w:t>.</w:t>
      </w:r>
    </w:p>
    <w:p w14:paraId="2A12A875" w14:textId="77777777" w:rsidR="001D4ED5" w:rsidRPr="001D4ED5" w:rsidRDefault="001D4ED5" w:rsidP="001D4ED5">
      <w:pPr>
        <w:spacing w:before="160" w:after="0" w:line="240" w:lineRule="auto"/>
        <w:ind w:left="0"/>
        <w:jc w:val="both"/>
        <w:rPr>
          <w:rFonts w:ascii="Times New Roman" w:hAnsi="Times New Roman" w:cs="Times New Roman"/>
          <w:sz w:val="24"/>
          <w:szCs w:val="24"/>
        </w:rPr>
      </w:pPr>
      <w:r w:rsidRPr="001D4ED5">
        <w:rPr>
          <w:rFonts w:ascii="Times New Roman" w:hAnsi="Times New Roman" w:cs="Times New Roman"/>
          <w:sz w:val="24"/>
          <w:szCs w:val="24"/>
        </w:rPr>
        <w:t>Siseministeerium ei toeta alla 18-aastaste isikute toto mängukohas viibimise lubamist – ärilised huvid ei tohi kaaluda üle alaealiste sõltuvusse sattumise riski. Isegi kui spordibaaris toimub toto mängimine pigem varjatud kujul, ega ole nii silmatorkav kui kasiinos, saab ta ilmselgelt aru, millises kohas ta viibib ning võib tekkida soov ka panustamise osas (nt täiskasvanu vahendusel).</w:t>
      </w:r>
    </w:p>
    <w:p w14:paraId="524BCC80" w14:textId="77777777" w:rsidR="001D4ED5" w:rsidRDefault="001D4ED5" w:rsidP="00D74F94">
      <w:pPr>
        <w:spacing w:after="0" w:line="240" w:lineRule="auto"/>
        <w:ind w:left="0"/>
        <w:jc w:val="both"/>
        <w:rPr>
          <w:rFonts w:ascii="Times New Roman" w:hAnsi="Times New Roman" w:cs="Times New Roman"/>
          <w:sz w:val="24"/>
          <w:szCs w:val="24"/>
        </w:rPr>
      </w:pPr>
    </w:p>
    <w:p w14:paraId="7345ADAC" w14:textId="77777777" w:rsidR="00F5517A" w:rsidRDefault="00F5517A" w:rsidP="00D74F94">
      <w:pPr>
        <w:spacing w:after="0" w:line="240" w:lineRule="auto"/>
        <w:ind w:left="0"/>
        <w:jc w:val="both"/>
        <w:rPr>
          <w:rFonts w:ascii="Times New Roman" w:hAnsi="Times New Roman" w:cs="Times New Roman"/>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62"/>
        <w:gridCol w:w="4509"/>
      </w:tblGrid>
      <w:tr w:rsidR="00F6332D" w14:paraId="2FC8D718" w14:textId="77777777" w:rsidTr="00D74F94">
        <w:tc>
          <w:tcPr>
            <w:tcW w:w="4585" w:type="dxa"/>
          </w:tcPr>
          <w:p w14:paraId="5324A54E" w14:textId="77777777" w:rsidR="00F6332D" w:rsidRPr="004547E0" w:rsidRDefault="00F6332D" w:rsidP="00D74F94">
            <w:pPr>
              <w:ind w:left="0"/>
              <w:rPr>
                <w:rFonts w:ascii="Times New Roman" w:hAnsi="Times New Roman" w:cs="Times New Roman"/>
                <w:sz w:val="24"/>
                <w:szCs w:val="24"/>
              </w:rPr>
            </w:pPr>
            <w:r w:rsidRPr="004547E0">
              <w:rPr>
                <w:rFonts w:ascii="Times New Roman" w:hAnsi="Times New Roman" w:cs="Times New Roman"/>
                <w:sz w:val="24"/>
                <w:szCs w:val="24"/>
              </w:rPr>
              <w:t>Lugupidamisega</w:t>
            </w:r>
          </w:p>
          <w:p w14:paraId="3FE68B0F" w14:textId="77777777" w:rsidR="00F6332D" w:rsidRDefault="00F6332D" w:rsidP="00D74F94">
            <w:pPr>
              <w:ind w:left="0"/>
              <w:rPr>
                <w:rFonts w:ascii="Times New Roman" w:hAnsi="Times New Roman" w:cs="Times New Roman"/>
                <w:sz w:val="24"/>
                <w:szCs w:val="24"/>
              </w:rPr>
            </w:pPr>
          </w:p>
          <w:p w14:paraId="0A71A39B" w14:textId="77777777" w:rsidR="00436883" w:rsidRPr="004547E0" w:rsidRDefault="00436883" w:rsidP="00D74F94">
            <w:pPr>
              <w:ind w:left="0"/>
              <w:rPr>
                <w:rFonts w:ascii="Times New Roman" w:hAnsi="Times New Roman" w:cs="Times New Roman"/>
                <w:sz w:val="24"/>
                <w:szCs w:val="24"/>
              </w:rPr>
            </w:pPr>
          </w:p>
          <w:p w14:paraId="449E2D07" w14:textId="77777777" w:rsidR="00F6332D" w:rsidRPr="00F71BC1" w:rsidRDefault="00F6332D" w:rsidP="00D74F94">
            <w:pPr>
              <w:pStyle w:val="Snum"/>
              <w:ind w:left="0"/>
              <w:jc w:val="left"/>
            </w:pPr>
            <w:r w:rsidRPr="00F71BC1">
              <w:t>(allkirjastatud digitaalselt)</w:t>
            </w:r>
          </w:p>
          <w:p w14:paraId="03323678" w14:textId="77777777" w:rsidR="00F6332D" w:rsidRPr="004547E0" w:rsidRDefault="00F6332D" w:rsidP="00D74F94">
            <w:pPr>
              <w:ind w:left="0"/>
              <w:rPr>
                <w:rFonts w:ascii="Times New Roman" w:hAnsi="Times New Roman" w:cs="Times New Roman"/>
                <w:sz w:val="24"/>
                <w:szCs w:val="24"/>
              </w:rPr>
            </w:pPr>
          </w:p>
          <w:p w14:paraId="386053AA" w14:textId="4A2C8874" w:rsidR="00F6332D" w:rsidRPr="004547E0" w:rsidRDefault="007A1BF2" w:rsidP="00D74F94">
            <w:pPr>
              <w:tabs>
                <w:tab w:val="left" w:pos="567"/>
              </w:tabs>
              <w:ind w:left="0"/>
              <w:rPr>
                <w:rFonts w:ascii="Times New Roman" w:hAnsi="Times New Roman" w:cs="Times New Roman"/>
                <w:sz w:val="24"/>
                <w:szCs w:val="24"/>
              </w:rPr>
            </w:pPr>
            <w:r>
              <w:rPr>
                <w:rFonts w:ascii="Times New Roman" w:hAnsi="Times New Roman" w:cs="Times New Roman"/>
                <w:sz w:val="24"/>
                <w:szCs w:val="24"/>
              </w:rPr>
              <w:t>Riina Sikkut</w:t>
            </w:r>
          </w:p>
          <w:p w14:paraId="627671D5" w14:textId="37DD6595" w:rsidR="00F6332D" w:rsidRDefault="007A1BF2" w:rsidP="00D74F94">
            <w:pPr>
              <w:tabs>
                <w:tab w:val="left" w:pos="567"/>
              </w:tabs>
              <w:ind w:left="0"/>
              <w:rPr>
                <w:rFonts w:ascii="Times New Roman" w:hAnsi="Times New Roman" w:cs="Times New Roman"/>
                <w:sz w:val="24"/>
                <w:szCs w:val="24"/>
              </w:rPr>
            </w:pPr>
            <w:r>
              <w:rPr>
                <w:rFonts w:ascii="Times New Roman" w:hAnsi="Times New Roman" w:cs="Times New Roman"/>
                <w:sz w:val="24"/>
                <w:szCs w:val="24"/>
              </w:rPr>
              <w:t>terviseminister siseministri ülesannetes</w:t>
            </w:r>
          </w:p>
        </w:tc>
        <w:tc>
          <w:tcPr>
            <w:tcW w:w="4543" w:type="dxa"/>
          </w:tcPr>
          <w:p w14:paraId="74F9D763" w14:textId="77777777" w:rsidR="00F6332D" w:rsidRDefault="00F6332D" w:rsidP="00436883">
            <w:pPr>
              <w:tabs>
                <w:tab w:val="left" w:pos="567"/>
              </w:tabs>
              <w:ind w:left="0"/>
              <w:rPr>
                <w:rFonts w:ascii="Times New Roman" w:hAnsi="Times New Roman" w:cs="Times New Roman"/>
                <w:sz w:val="24"/>
                <w:szCs w:val="24"/>
              </w:rPr>
            </w:pPr>
          </w:p>
        </w:tc>
      </w:tr>
    </w:tbl>
    <w:p w14:paraId="46F07D60" w14:textId="77777777" w:rsidR="00765B50" w:rsidRDefault="00765B50" w:rsidP="00D74F94">
      <w:pPr>
        <w:spacing w:after="0" w:line="240" w:lineRule="auto"/>
        <w:ind w:left="0"/>
        <w:rPr>
          <w:rFonts w:ascii="Times New Roman" w:hAnsi="Times New Roman" w:cs="Times New Roman"/>
          <w:sz w:val="24"/>
          <w:szCs w:val="24"/>
        </w:rPr>
      </w:pPr>
    </w:p>
    <w:p w14:paraId="1306948F" w14:textId="77777777" w:rsidR="00566D13" w:rsidRDefault="00566D13" w:rsidP="00D74F94">
      <w:pPr>
        <w:spacing w:after="0" w:line="240" w:lineRule="auto"/>
        <w:ind w:left="0"/>
        <w:rPr>
          <w:rFonts w:ascii="Times New Roman" w:hAnsi="Times New Roman" w:cs="Times New Roman"/>
          <w:sz w:val="24"/>
          <w:szCs w:val="24"/>
        </w:rPr>
      </w:pPr>
    </w:p>
    <w:p w14:paraId="2691A193" w14:textId="77777777" w:rsidR="004F702B" w:rsidRDefault="004F702B" w:rsidP="00D74F94">
      <w:pPr>
        <w:spacing w:after="0" w:line="240" w:lineRule="auto"/>
        <w:ind w:left="0"/>
        <w:rPr>
          <w:rFonts w:ascii="Times New Roman" w:hAnsi="Times New Roman" w:cs="Times New Roman"/>
          <w:sz w:val="24"/>
          <w:szCs w:val="24"/>
        </w:rPr>
      </w:pPr>
    </w:p>
    <w:p w14:paraId="3BF04CA2" w14:textId="77777777" w:rsidR="004F702B" w:rsidRDefault="004F702B" w:rsidP="00D74F94">
      <w:pPr>
        <w:spacing w:after="0" w:line="240" w:lineRule="auto"/>
        <w:ind w:left="0"/>
        <w:rPr>
          <w:rFonts w:ascii="Times New Roman" w:hAnsi="Times New Roman" w:cs="Times New Roman"/>
          <w:sz w:val="24"/>
          <w:szCs w:val="24"/>
        </w:rPr>
      </w:pPr>
    </w:p>
    <w:p w14:paraId="0CB8C097" w14:textId="77777777" w:rsidR="00AF0940" w:rsidRPr="004547E0" w:rsidRDefault="00AF0940" w:rsidP="00D74F94">
      <w:pPr>
        <w:spacing w:after="0" w:line="240" w:lineRule="auto"/>
        <w:ind w:left="0"/>
        <w:rPr>
          <w:rFonts w:ascii="Times New Roman" w:hAnsi="Times New Roman" w:cs="Times New Roman"/>
          <w:sz w:val="24"/>
          <w:szCs w:val="24"/>
        </w:rPr>
      </w:pPr>
    </w:p>
    <w:p w14:paraId="598BE329" w14:textId="65053CE5" w:rsidR="00765B50" w:rsidRPr="004547E0" w:rsidRDefault="00765B50" w:rsidP="00D74F94">
      <w:pPr>
        <w:spacing w:after="0" w:line="240" w:lineRule="auto"/>
        <w:ind w:left="0"/>
        <w:rPr>
          <w:rFonts w:ascii="Times New Roman" w:hAnsi="Times New Roman" w:cs="Times New Roman"/>
          <w:sz w:val="24"/>
          <w:szCs w:val="24"/>
        </w:rPr>
      </w:pPr>
      <w:r w:rsidRPr="004547E0">
        <w:rPr>
          <w:rFonts w:ascii="Times New Roman" w:hAnsi="Times New Roman" w:cs="Times New Roman"/>
          <w:sz w:val="24"/>
          <w:szCs w:val="24"/>
        </w:rPr>
        <w:fldChar w:fldCharType="begin"/>
      </w:r>
      <w:r w:rsidR="004C1FE1">
        <w:rPr>
          <w:rFonts w:ascii="Times New Roman" w:hAnsi="Times New Roman" w:cs="Times New Roman"/>
          <w:sz w:val="24"/>
          <w:szCs w:val="24"/>
        </w:rPr>
        <w:instrText xml:space="preserve"> delta_ownerName  \* MERGEFORMAT</w:instrText>
      </w:r>
      <w:r w:rsidRPr="004547E0">
        <w:rPr>
          <w:rFonts w:ascii="Times New Roman" w:hAnsi="Times New Roman" w:cs="Times New Roman"/>
          <w:sz w:val="24"/>
          <w:szCs w:val="24"/>
        </w:rPr>
        <w:fldChar w:fldCharType="separate"/>
      </w:r>
      <w:r w:rsidR="004C1FE1">
        <w:rPr>
          <w:rFonts w:ascii="Times New Roman" w:hAnsi="Times New Roman" w:cs="Times New Roman"/>
          <w:sz w:val="24"/>
          <w:szCs w:val="24"/>
        </w:rPr>
        <w:t>Indrek Link</w:t>
      </w:r>
      <w:r w:rsidRPr="004547E0">
        <w:rPr>
          <w:rFonts w:ascii="Times New Roman" w:hAnsi="Times New Roman" w:cs="Times New Roman"/>
          <w:sz w:val="24"/>
          <w:szCs w:val="24"/>
        </w:rPr>
        <w:fldChar w:fldCharType="end"/>
      </w:r>
      <w:r w:rsidRPr="004547E0">
        <w:rPr>
          <w:rFonts w:ascii="Times New Roman" w:hAnsi="Times New Roman" w:cs="Times New Roman"/>
          <w:sz w:val="24"/>
          <w:szCs w:val="24"/>
        </w:rPr>
        <w:t xml:space="preserve"> </w:t>
      </w:r>
      <w:r w:rsidRPr="004547E0">
        <w:rPr>
          <w:rFonts w:ascii="Times New Roman" w:hAnsi="Times New Roman" w:cs="Times New Roman"/>
          <w:sz w:val="24"/>
          <w:szCs w:val="24"/>
        </w:rPr>
        <w:fldChar w:fldCharType="begin"/>
      </w:r>
      <w:r w:rsidR="004C1FE1">
        <w:rPr>
          <w:rFonts w:ascii="Times New Roman" w:hAnsi="Times New Roman" w:cs="Times New Roman"/>
          <w:sz w:val="24"/>
          <w:szCs w:val="24"/>
        </w:rPr>
        <w:instrText xml:space="preserve"> delta_ownerEmail  \* MERGEFORMAT</w:instrText>
      </w:r>
      <w:r w:rsidRPr="004547E0">
        <w:rPr>
          <w:rFonts w:ascii="Times New Roman" w:hAnsi="Times New Roman" w:cs="Times New Roman"/>
          <w:sz w:val="24"/>
          <w:szCs w:val="24"/>
        </w:rPr>
        <w:fldChar w:fldCharType="separate"/>
      </w:r>
      <w:r w:rsidR="004C1FE1">
        <w:rPr>
          <w:rFonts w:ascii="Times New Roman" w:hAnsi="Times New Roman" w:cs="Times New Roman"/>
          <w:sz w:val="24"/>
          <w:szCs w:val="24"/>
        </w:rPr>
        <w:t>indrek.link@siseministeerium.ee</w:t>
      </w:r>
      <w:r w:rsidRPr="004547E0">
        <w:rPr>
          <w:rFonts w:ascii="Times New Roman" w:hAnsi="Times New Roman" w:cs="Times New Roman"/>
          <w:sz w:val="24"/>
          <w:szCs w:val="24"/>
        </w:rPr>
        <w:fldChar w:fldCharType="end"/>
      </w:r>
    </w:p>
    <w:sectPr w:rsidR="00765B50" w:rsidRPr="004547E0" w:rsidSect="00F5517A">
      <w:headerReference w:type="default" r:id="rId7"/>
      <w:footerReference w:type="default" r:id="rId8"/>
      <w:footerReference w:type="first" r:id="rId9"/>
      <w:pgSz w:w="11906" w:h="16838" w:code="9"/>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A60D8" w14:textId="77777777" w:rsidR="00602F26" w:rsidRDefault="00602F26" w:rsidP="006C5B5F">
      <w:pPr>
        <w:spacing w:after="0" w:line="240" w:lineRule="auto"/>
      </w:pPr>
      <w:r>
        <w:separator/>
      </w:r>
    </w:p>
  </w:endnote>
  <w:endnote w:type="continuationSeparator" w:id="0">
    <w:p w14:paraId="45F4D18F" w14:textId="77777777" w:rsidR="00602F26" w:rsidRDefault="00602F26" w:rsidP="006C5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6754C" w14:textId="77777777" w:rsidR="00495FD0" w:rsidRPr="00AF0940" w:rsidRDefault="00F5517A" w:rsidP="00AF0940">
    <w:pPr>
      <w:pStyle w:val="Jalus"/>
      <w:tabs>
        <w:tab w:val="left" w:pos="708"/>
      </w:tabs>
      <w:ind w:left="0"/>
      <w:rPr>
        <w:rFonts w:ascii="Times New Roman" w:hAnsi="Times New Roman" w:cs="Times New Roman"/>
        <w:sz w:val="20"/>
        <w:szCs w:val="24"/>
      </w:rPr>
    </w:pPr>
    <w:r w:rsidRPr="00F5517A">
      <w:rPr>
        <w:rFonts w:ascii="Times New Roman" w:hAnsi="Times New Roman" w:cs="Times New Roman"/>
        <w:sz w:val="20"/>
        <w:szCs w:val="24"/>
      </w:rPr>
      <w:fldChar w:fldCharType="begin"/>
    </w:r>
    <w:r w:rsidRPr="00F5517A">
      <w:rPr>
        <w:rFonts w:ascii="Times New Roman" w:hAnsi="Times New Roman" w:cs="Times New Roman"/>
        <w:sz w:val="20"/>
        <w:szCs w:val="24"/>
      </w:rPr>
      <w:instrText xml:space="preserve"> PAGE </w:instrText>
    </w:r>
    <w:r w:rsidRPr="00F5517A">
      <w:rPr>
        <w:rFonts w:ascii="Times New Roman" w:hAnsi="Times New Roman" w:cs="Times New Roman"/>
        <w:sz w:val="20"/>
        <w:szCs w:val="24"/>
      </w:rPr>
      <w:fldChar w:fldCharType="separate"/>
    </w:r>
    <w:r w:rsidR="00AF0940">
      <w:rPr>
        <w:rFonts w:ascii="Times New Roman" w:hAnsi="Times New Roman" w:cs="Times New Roman"/>
        <w:noProof/>
        <w:sz w:val="20"/>
        <w:szCs w:val="24"/>
      </w:rPr>
      <w:t>2</w:t>
    </w:r>
    <w:r w:rsidRPr="00F5517A">
      <w:rPr>
        <w:rFonts w:ascii="Times New Roman" w:hAnsi="Times New Roman" w:cs="Times New Roman"/>
        <w:sz w:val="20"/>
        <w:szCs w:val="24"/>
      </w:rPr>
      <w:fldChar w:fldCharType="end"/>
    </w:r>
    <w:r w:rsidRPr="00F5517A">
      <w:rPr>
        <w:rFonts w:ascii="Times New Roman" w:hAnsi="Times New Roman" w:cs="Times New Roman"/>
        <w:sz w:val="20"/>
        <w:szCs w:val="24"/>
      </w:rPr>
      <w:t xml:space="preserve"> (</w:t>
    </w:r>
    <w:r w:rsidRPr="00F5517A">
      <w:rPr>
        <w:rFonts w:ascii="Times New Roman" w:hAnsi="Times New Roman" w:cs="Times New Roman"/>
        <w:sz w:val="20"/>
        <w:szCs w:val="24"/>
      </w:rPr>
      <w:fldChar w:fldCharType="begin"/>
    </w:r>
    <w:r w:rsidRPr="00F5517A">
      <w:rPr>
        <w:rFonts w:ascii="Times New Roman" w:hAnsi="Times New Roman" w:cs="Times New Roman"/>
        <w:sz w:val="20"/>
        <w:szCs w:val="24"/>
      </w:rPr>
      <w:instrText xml:space="preserve"> NUMPAGES </w:instrText>
    </w:r>
    <w:r w:rsidRPr="00F5517A">
      <w:rPr>
        <w:rFonts w:ascii="Times New Roman" w:hAnsi="Times New Roman" w:cs="Times New Roman"/>
        <w:sz w:val="20"/>
        <w:szCs w:val="24"/>
      </w:rPr>
      <w:fldChar w:fldCharType="separate"/>
    </w:r>
    <w:r w:rsidR="007678FA">
      <w:rPr>
        <w:rFonts w:ascii="Times New Roman" w:hAnsi="Times New Roman" w:cs="Times New Roman"/>
        <w:noProof/>
        <w:sz w:val="20"/>
        <w:szCs w:val="24"/>
      </w:rPr>
      <w:t>1</w:t>
    </w:r>
    <w:r w:rsidRPr="00F5517A">
      <w:rPr>
        <w:rFonts w:ascii="Times New Roman" w:hAnsi="Times New Roman" w:cs="Times New Roman"/>
        <w:sz w:val="20"/>
        <w:szCs w:val="24"/>
      </w:rPr>
      <w:fldChar w:fldCharType="end"/>
    </w:r>
    <w:r w:rsidRPr="00F5517A">
      <w:rPr>
        <w:rFonts w:ascii="Times New Roman" w:hAnsi="Times New Roman" w:cs="Times New Roman"/>
        <w:sz w:val="20"/>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97D09" w14:textId="77777777" w:rsidR="00F5517A" w:rsidRPr="006C5B5F" w:rsidRDefault="00F5517A" w:rsidP="00F5517A">
    <w:pPr>
      <w:pStyle w:val="Jalus"/>
      <w:ind w:left="0"/>
      <w:rPr>
        <w:rFonts w:ascii="Times New Roman" w:hAnsi="Times New Roman" w:cs="Times New Roman"/>
        <w:sz w:val="20"/>
        <w:szCs w:val="20"/>
      </w:rPr>
    </w:pPr>
    <w:r w:rsidRPr="006C5B5F">
      <w:rPr>
        <w:rFonts w:ascii="Times New Roman" w:hAnsi="Times New Roman" w:cs="Times New Roman"/>
        <w:sz w:val="20"/>
        <w:szCs w:val="20"/>
      </w:rPr>
      <w:t>Pikk 61 / 15065 Tallinn / 612 5008 / info@siseministeerium.ee / www.siseministeerium.ee</w:t>
    </w:r>
  </w:p>
  <w:p w14:paraId="31EEA075" w14:textId="77777777" w:rsidR="00F5517A" w:rsidRDefault="00F5517A" w:rsidP="00F5517A">
    <w:pPr>
      <w:pStyle w:val="Jalus"/>
      <w:ind w:left="0"/>
      <w:rPr>
        <w:rFonts w:ascii="Times New Roman" w:hAnsi="Times New Roman" w:cs="Times New Roman"/>
        <w:sz w:val="20"/>
        <w:szCs w:val="20"/>
      </w:rPr>
    </w:pPr>
    <w:r w:rsidRPr="006C5B5F">
      <w:rPr>
        <w:rFonts w:ascii="Times New Roman" w:hAnsi="Times New Roman" w:cs="Times New Roman"/>
        <w:sz w:val="20"/>
        <w:szCs w:val="20"/>
      </w:rPr>
      <w:t>Registrikood 70000562</w:t>
    </w:r>
  </w:p>
  <w:p w14:paraId="2A8E6858" w14:textId="77777777" w:rsidR="00F5517A" w:rsidRPr="00F5517A" w:rsidRDefault="00F5517A" w:rsidP="00F5517A">
    <w:pPr>
      <w:pStyle w:val="Jalus"/>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8D4A7" w14:textId="77777777" w:rsidR="00602F26" w:rsidRDefault="00602F26" w:rsidP="006C5B5F">
      <w:pPr>
        <w:spacing w:after="0" w:line="240" w:lineRule="auto"/>
      </w:pPr>
      <w:r>
        <w:separator/>
      </w:r>
    </w:p>
  </w:footnote>
  <w:footnote w:type="continuationSeparator" w:id="0">
    <w:p w14:paraId="3CC78A8B" w14:textId="77777777" w:rsidR="00602F26" w:rsidRDefault="00602F26" w:rsidP="006C5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3A5D5" w14:textId="77777777" w:rsidR="00AF0940" w:rsidRPr="00AF0940" w:rsidRDefault="00AF0940" w:rsidP="00AF0940">
    <w:pPr>
      <w:pStyle w:val="Pis"/>
      <w:ind w:left="0"/>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F94"/>
    <w:rsid w:val="00037CF0"/>
    <w:rsid w:val="00050593"/>
    <w:rsid w:val="00060FE3"/>
    <w:rsid w:val="0007163D"/>
    <w:rsid w:val="00116C8C"/>
    <w:rsid w:val="001A4AAD"/>
    <w:rsid w:val="001D4ED5"/>
    <w:rsid w:val="0023764E"/>
    <w:rsid w:val="002B6007"/>
    <w:rsid w:val="002C7FC3"/>
    <w:rsid w:val="002E21E9"/>
    <w:rsid w:val="003C382F"/>
    <w:rsid w:val="003D2B13"/>
    <w:rsid w:val="003F7092"/>
    <w:rsid w:val="00436883"/>
    <w:rsid w:val="004547E0"/>
    <w:rsid w:val="00466D0A"/>
    <w:rsid w:val="00495FD0"/>
    <w:rsid w:val="004C1FE1"/>
    <w:rsid w:val="004E1881"/>
    <w:rsid w:val="004F702B"/>
    <w:rsid w:val="0054123C"/>
    <w:rsid w:val="005442C4"/>
    <w:rsid w:val="00566D13"/>
    <w:rsid w:val="00594CF8"/>
    <w:rsid w:val="00602F26"/>
    <w:rsid w:val="00627303"/>
    <w:rsid w:val="0063372B"/>
    <w:rsid w:val="006A0DE4"/>
    <w:rsid w:val="006A256E"/>
    <w:rsid w:val="006A49E1"/>
    <w:rsid w:val="006C16A1"/>
    <w:rsid w:val="006C5B5F"/>
    <w:rsid w:val="007076FD"/>
    <w:rsid w:val="00765B50"/>
    <w:rsid w:val="007678FA"/>
    <w:rsid w:val="007A1BF2"/>
    <w:rsid w:val="007B4418"/>
    <w:rsid w:val="007D3725"/>
    <w:rsid w:val="007D527F"/>
    <w:rsid w:val="00870CB7"/>
    <w:rsid w:val="008E6C16"/>
    <w:rsid w:val="00933056"/>
    <w:rsid w:val="009655F7"/>
    <w:rsid w:val="009761F5"/>
    <w:rsid w:val="009C3EAC"/>
    <w:rsid w:val="00A27F56"/>
    <w:rsid w:val="00A45756"/>
    <w:rsid w:val="00AF0940"/>
    <w:rsid w:val="00AF5F00"/>
    <w:rsid w:val="00B21E4C"/>
    <w:rsid w:val="00B2568B"/>
    <w:rsid w:val="00B42D61"/>
    <w:rsid w:val="00B77CD8"/>
    <w:rsid w:val="00BB6D6E"/>
    <w:rsid w:val="00C22CAB"/>
    <w:rsid w:val="00C80AD3"/>
    <w:rsid w:val="00C9085E"/>
    <w:rsid w:val="00CD1D4E"/>
    <w:rsid w:val="00D21FBE"/>
    <w:rsid w:val="00D73579"/>
    <w:rsid w:val="00D74F94"/>
    <w:rsid w:val="00D919DE"/>
    <w:rsid w:val="00DC4A13"/>
    <w:rsid w:val="00DD68BA"/>
    <w:rsid w:val="00E242F3"/>
    <w:rsid w:val="00E26533"/>
    <w:rsid w:val="00EB4DBF"/>
    <w:rsid w:val="00F5517A"/>
    <w:rsid w:val="00F6332D"/>
    <w:rsid w:val="00F71BC1"/>
    <w:rsid w:val="00F867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3393"/>
  <w15:docId w15:val="{CE7C3450-D120-4227-84EF-3AC4F700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123C"/>
    <w:pPr>
      <w:ind w:left="-57"/>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6C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6C5B5F"/>
    <w:pPr>
      <w:tabs>
        <w:tab w:val="center" w:pos="4536"/>
        <w:tab w:val="right" w:pos="9072"/>
      </w:tabs>
      <w:spacing w:after="0" w:line="240" w:lineRule="auto"/>
    </w:pPr>
  </w:style>
  <w:style w:type="character" w:customStyle="1" w:styleId="PisMrk">
    <w:name w:val="Päis Märk"/>
    <w:basedOn w:val="Liguvaikefont"/>
    <w:link w:val="Pis"/>
    <w:uiPriority w:val="99"/>
    <w:rsid w:val="006C5B5F"/>
  </w:style>
  <w:style w:type="paragraph" w:styleId="Jalus">
    <w:name w:val="footer"/>
    <w:basedOn w:val="Normaallaad"/>
    <w:link w:val="JalusMrk"/>
    <w:uiPriority w:val="99"/>
    <w:unhideWhenUsed/>
    <w:rsid w:val="006C5B5F"/>
    <w:pPr>
      <w:tabs>
        <w:tab w:val="center" w:pos="4536"/>
        <w:tab w:val="right" w:pos="9072"/>
      </w:tabs>
      <w:spacing w:after="0" w:line="240" w:lineRule="auto"/>
    </w:pPr>
  </w:style>
  <w:style w:type="character" w:customStyle="1" w:styleId="JalusMrk">
    <w:name w:val="Jalus Märk"/>
    <w:basedOn w:val="Liguvaikefont"/>
    <w:link w:val="Jalus"/>
    <w:uiPriority w:val="99"/>
    <w:rsid w:val="006C5B5F"/>
  </w:style>
  <w:style w:type="paragraph" w:styleId="Jutumullitekst">
    <w:name w:val="Balloon Text"/>
    <w:basedOn w:val="Normaallaad"/>
    <w:link w:val="JutumullitekstMrk"/>
    <w:uiPriority w:val="99"/>
    <w:semiHidden/>
    <w:unhideWhenUsed/>
    <w:rsid w:val="006C5B5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C5B5F"/>
    <w:rPr>
      <w:rFonts w:ascii="Tahoma" w:hAnsi="Tahoma" w:cs="Tahoma"/>
      <w:sz w:val="16"/>
      <w:szCs w:val="16"/>
    </w:rPr>
  </w:style>
  <w:style w:type="paragraph" w:customStyle="1" w:styleId="Snum">
    <w:name w:val="Sõnum"/>
    <w:autoRedefine/>
    <w:qFormat/>
    <w:rsid w:val="00F71BC1"/>
    <w:pPr>
      <w:tabs>
        <w:tab w:val="left" w:pos="567"/>
      </w:tabs>
      <w:spacing w:after="0" w:line="240" w:lineRule="auto"/>
      <w:ind w:left="-45"/>
      <w:jc w:val="both"/>
    </w:pPr>
    <w:rPr>
      <w:rFonts w:ascii="Times New Roman" w:eastAsia="SimSun" w:hAnsi="Times New Roman" w:cs="Times New Roman"/>
      <w:color w:val="000000" w:themeColor="text1"/>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93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3368</Characters>
  <Application>Microsoft Office Word</Application>
  <DocSecurity>0</DocSecurity>
  <Lines>28</Lines>
  <Paragraphs>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Siseministeerium</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 Uusleer</dc:creator>
  <cp:lastModifiedBy>Zanna Arhipova</cp:lastModifiedBy>
  <cp:revision>5</cp:revision>
  <dcterms:created xsi:type="dcterms:W3CDTF">2025-03-06T12:27:00Z</dcterms:created>
  <dcterms:modified xsi:type="dcterms:W3CDTF">2025-03-06T13:11:00Z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regNumber">
    <vt:lpwstr>{viit}</vt:lpwstr>
  </property>
  <property fmtid="{D5CDD505-2E9C-101B-9397-08002B2CF9AE}" pid="9" name="delta_regDateTime">
    <vt:lpwstr>{reg kpv}</vt:lpwstr>
  </property>
  <property fmtid="{D5CDD505-2E9C-101B-9397-08002B2CF9AE}" pid="10" name="delta_accessRestriction">
    <vt:lpwstr>{Juurdepääsupiirang}</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recipientName.1">
    <vt:lpwstr>{Adressaat}</vt:lpwstr>
  </property>
  <property fmtid="{D5CDD505-2E9C-101B-9397-08002B2CF9AE}" pid="16" name="delta_recipientName.2">
    <vt:lpwstr>{Adressaat}</vt:lpwstr>
  </property>
  <property fmtid="{D5CDD505-2E9C-101B-9397-08002B2CF9AE}" pid="17" name="delta_recipientName.3">
    <vt:lpwstr>{Adressaat}</vt:lpwstr>
  </property>
  <property fmtid="{D5CDD505-2E9C-101B-9397-08002B2CF9AE}" pid="18" name="delta_recipientName.4">
    <vt:lpwstr>{Adressaat}</vt:lpwstr>
  </property>
  <property fmtid="{D5CDD505-2E9C-101B-9397-08002B2CF9AE}" pid="19" name="delta_additionalRecipientName.1">
    <vt:lpwstr>{Lisaadressaat}</vt:lpwstr>
  </property>
  <property fmtid="{D5CDD505-2E9C-101B-9397-08002B2CF9AE}" pid="20" name="delta_additionalRecipientName.2">
    <vt:lpwstr>{Lisaadressaat}</vt:lpwstr>
  </property>
  <property fmtid="{D5CDD505-2E9C-101B-9397-08002B2CF9AE}" pid="21" name="delta_additionalRecipientName.3">
    <vt:lpwstr>{Lisaadressaat}</vt:lpwstr>
  </property>
  <property fmtid="{D5CDD505-2E9C-101B-9397-08002B2CF9AE}" pid="22" name="delta_additionalRecipientName.4">
    <vt:lpwstr>{Lisaadressaat}</vt:lpwstr>
  </property>
  <property fmtid="{D5CDD505-2E9C-101B-9397-08002B2CF9AE}" pid="23" name="delta_additionalRecipientName.5">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additionalRecipientName.10">
    <vt:lpwstr>{Lisaadressaat}</vt:lpwstr>
  </property>
  <property fmtid="{D5CDD505-2E9C-101B-9397-08002B2CF9AE}" pid="29" name="delta_signerName">
    <vt:lpwstr>{Allkirjastaja nimi}</vt:lpwstr>
  </property>
  <property fmtid="{D5CDD505-2E9C-101B-9397-08002B2CF9AE}" pid="30" name="delta_signerJobTitle">
    <vt:lpwstr>{allkirjastaja ametinimetus}</vt:lpwstr>
  </property>
  <property fmtid="{D5CDD505-2E9C-101B-9397-08002B2CF9AE}" pid="31" name="delta_signerOrgStructUnit">
    <vt:lpwstr>{allkirjastaja struktuuriüksus}</vt:lpwstr>
  </property>
  <property fmtid="{D5CDD505-2E9C-101B-9397-08002B2CF9AE}" pid="32" name="delta_signerNameTwo">
    <vt:lpwstr>{Kaasalkirjastaja nimi}</vt:lpwstr>
  </property>
  <property fmtid="{D5CDD505-2E9C-101B-9397-08002B2CF9AE}" pid="33" name="delta_signerJobTitleTwo">
    <vt:lpwstr>{Kaasalkirjastaja ametinimetus}</vt:lpwstr>
  </property>
  <property fmtid="{D5CDD505-2E9C-101B-9397-08002B2CF9AE}" pid="34" name="delta_delivererName">
    <vt:lpwstr>{üleandja nimi}</vt:lpwstr>
  </property>
  <property fmtid="{D5CDD505-2E9C-101B-9397-08002B2CF9AE}" pid="35" name="delta_delivererJobTitle">
    <vt:lpwstr>{üleandja ametinimetus}</vt:lpwstr>
  </property>
  <property fmtid="{D5CDD505-2E9C-101B-9397-08002B2CF9AE}" pid="36" name="delta_delivererStructUnit">
    <vt:lpwstr>{üleandja struktuuriüksus}</vt:lpwstr>
  </property>
  <property fmtid="{D5CDD505-2E9C-101B-9397-08002B2CF9AE}" pid="37" name="delta_receiverName">
    <vt:lpwstr>{vastuvõtja nimi}</vt:lpwstr>
  </property>
  <property fmtid="{D5CDD505-2E9C-101B-9397-08002B2CF9AE}" pid="38" name="delta_receiverJobTitle">
    <vt:lpwstr>{vastuvõtja ametinimetus}</vt:lpwstr>
  </property>
  <property fmtid="{D5CDD505-2E9C-101B-9397-08002B2CF9AE}" pid="39" name="delta_receiverStructUnit">
    <vt:lpwstr>{vastuvõtja struktuuriüksus}</vt:lpwstr>
  </property>
  <property fmtid="{D5CDD505-2E9C-101B-9397-08002B2CF9AE}" pid="40" name="delta_rapporteur">
    <vt:lpwstr>{aruande esitaja}</vt:lpwstr>
  </property>
  <property fmtid="{D5CDD505-2E9C-101B-9397-08002B2CF9AE}" pid="41" name="delta_responsibleName">
    <vt:lpwstr>{peatäitja nimi}</vt:lpwstr>
  </property>
  <property fmtid="{D5CDD505-2E9C-101B-9397-08002B2CF9AE}" pid="42" name="delta_coResponsibles">
    <vt:lpwstr>{lisatäitja}</vt:lpwstr>
  </property>
  <property fmtid="{D5CDD505-2E9C-101B-9397-08002B2CF9AE}" pid="43" name="delta_responsibleStructUnit">
    <vt:lpwstr>{peatäitja struktuuriüksus}</vt:lpwstr>
  </property>
  <property fmtid="{D5CDD505-2E9C-101B-9397-08002B2CF9AE}" pid="44" name="delta_DueDate">
    <vt:lpwstr>{tähtaeg}</vt:lpwstr>
  </property>
  <property fmtid="{D5CDD505-2E9C-101B-9397-08002B2CF9AE}" pid="45" name="delta_responsibleOrganization">
    <vt:lpwstr>{peatäitja asutuse nimetus}</vt:lpwstr>
  </property>
  <property fmtid="{D5CDD505-2E9C-101B-9397-08002B2CF9AE}" pid="46" name="delta_givenOutToLivence">
    <vt:lpwstr>{välja antud}</vt:lpwstr>
  </property>
  <property fmtid="{D5CDD505-2E9C-101B-9397-08002B2CF9AE}" pid="47" name="delta_senderRegNumber">
    <vt:lpwstr>{saatja reg nr}</vt:lpwstr>
  </property>
  <property fmtid="{D5CDD505-2E9C-101B-9397-08002B2CF9AE}" pid="48" name="delta_senderRegDate">
    <vt:lpwstr>{saatja reg kpv}</vt:lpwstr>
  </property>
</Properties>
</file>